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0"/>
        <w:jc w:val="center"/>
        <w:rPr>
          <w:rFonts w:ascii="Times New Roman;serif" w:hAnsi="Times New Roman;serif"/>
          <w:b w:val="false"/>
          <w:color w:val="000000"/>
          <w:sz w:val="14"/>
        </w:rPr>
      </w:pPr>
      <w:r>
        <w:rPr>
          <w:rFonts w:ascii="Times New Roman;serif" w:hAnsi="Times New Roman;serif"/>
          <w:b w:val="false"/>
          <w:color w:val="000000"/>
          <w:sz w:val="14"/>
        </w:rPr>
        <w:t>_______________________________________________________________________</w:t>
      </w:r>
    </w:p>
    <w:p>
      <w:pPr>
        <w:pStyle w:val="TextBody"/>
        <w:bidi w:val="0"/>
        <w:spacing w:lineRule="auto" w:line="288" w:before="120" w:after="283"/>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lineRule="auto" w:line="288" w:before="0" w:after="0"/>
        <w:jc w:val="center"/>
        <w:rPr>
          <w:rFonts w:ascii="Times New Roman;serif" w:hAnsi="Times New Roman;serif"/>
          <w:b w:val="false"/>
          <w:color w:val="000000"/>
          <w:sz w:val="14"/>
        </w:rPr>
      </w:pPr>
      <w:r>
        <w:rPr>
          <w:rFonts w:ascii="Times New Roman;serif" w:hAnsi="Times New Roman;serif"/>
          <w:b w:val="false"/>
          <w:color w:val="000000"/>
          <w:sz w:val="14"/>
        </w:rPr>
        <w:t>_______________________________________________________________________</w:t>
      </w:r>
    </w:p>
    <w:p>
      <w:pPr>
        <w:pStyle w:val="TextBody"/>
        <w:bidi w:val="0"/>
        <w:spacing w:lineRule="auto" w:line="288" w:before="120" w:after="283"/>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120" w:after="283"/>
        <w:jc w:val="center"/>
        <w:rPr>
          <w:rFonts w:ascii="Times New Roman;serif" w:hAnsi="Times New Roman;serif"/>
          <w:b/>
          <w:color w:val="000000"/>
          <w:sz w:val="24"/>
        </w:rPr>
      </w:pPr>
      <w:r>
        <w:rPr>
          <w:rFonts w:ascii="Times New Roman;serif" w:hAnsi="Times New Roman;serif"/>
          <w:b/>
          <w:color w:val="000000"/>
          <w:sz w:val="24"/>
        </w:rPr>
        <w:t>Pursuant to Section 13 or 15(d) of the Securities Exchange Act of 1934</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 May 7, 2026</w:t>
      </w:r>
    </w:p>
    <w:p>
      <w:pPr>
        <w:pStyle w:val="TextBody"/>
        <w:bidi w:val="0"/>
        <w:spacing w:lineRule="auto" w:line="288" w:before="0" w:after="120"/>
        <w:jc w:val="center"/>
        <w:rPr>
          <w:rFonts w:ascii="Times New Roman;serif" w:hAnsi="Times New Roman;serif"/>
          <w:b w:val="false"/>
          <w:color w:val="000000"/>
          <w:sz w:val="14"/>
        </w:rPr>
      </w:pPr>
      <w:r>
        <w:rPr>
          <w:rFonts w:ascii="Times New Roman;serif" w:hAnsi="Times New Roman;serif"/>
          <w:b w:val="false"/>
          <w:color w:val="000000"/>
          <w:sz w:val="14"/>
        </w:rPr>
        <w:t>_______________________________________________________________________</w:t>
      </w:r>
    </w:p>
    <w:p>
      <w:pPr>
        <w:pStyle w:val="TextBody"/>
        <w:bidi w:val="0"/>
        <w:spacing w:lineRule="auto" w:line="288" w:before="120" w:after="283"/>
        <w:jc w:val="center"/>
        <w:rPr>
          <w:rFonts w:ascii="Times New Roman;serif" w:hAnsi="Times New Roman;serif"/>
          <w:b/>
          <w:color w:val="000000"/>
          <w:sz w:val="48"/>
        </w:rPr>
      </w:pPr>
      <w:r>
        <w:rPr>
          <w:rFonts w:ascii="Times New Roman;serif" w:hAnsi="Times New Roman;serif"/>
          <w:b/>
          <w:color w:val="000000"/>
          <w:sz w:val="48"/>
        </w:rPr>
        <w:t>The RealReal, Inc.</w:t>
      </w:r>
    </w:p>
    <w:p>
      <w:pPr>
        <w:pStyle w:val="TextBody"/>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(Exact name of Registrant as Specified in Its Charter)</w:t>
      </w:r>
    </w:p>
    <w:p>
      <w:pPr>
        <w:pStyle w:val="TextBody"/>
        <w:bidi w:val="0"/>
        <w:spacing w:lineRule="auto" w:line="288" w:before="0" w:after="120"/>
        <w:jc w:val="center"/>
        <w:rPr>
          <w:rFonts w:ascii="Times New Roman;serif" w:hAnsi="Times New Roman;serif"/>
          <w:b w:val="false"/>
          <w:color w:val="000000"/>
          <w:sz w:val="14"/>
        </w:rPr>
      </w:pPr>
      <w:r>
        <w:rPr>
          <w:rFonts w:ascii="Times New Roman;serif" w:hAnsi="Times New Roman;serif"/>
          <w:b w:val="false"/>
          <w:color w:val="000000"/>
          <w:sz w:val="14"/>
        </w:rPr>
        <w:t>_______________________________________________________________________</w:t>
      </w:r>
    </w:p>
    <w:tbl>
      <w:tblPr>
        <w:tblW w:w="6252" w:type="dxa"/>
        <w:jc w:val="left"/>
        <w:tblInd w:w="0" w:type="dxa"/>
        <w:tblLayout w:type="fixed"/>
        <w:tblCellMar>
          <w:top w:w="28" w:type="dxa"/>
          <w:left w:w="28" w:type="dxa"/>
          <w:bottom w:w="28" w:type="dxa"/>
          <w:right w:w="28" w:type="dxa"/>
        </w:tblCellMar>
      </w:tblPr>
      <w:tblGrid>
        <w:gridCol w:w="776"/>
        <w:gridCol w:w="680"/>
        <w:gridCol w:w="688"/>
        <w:gridCol w:w="871"/>
        <w:gridCol w:w="871"/>
        <w:gridCol w:w="882"/>
        <w:gridCol w:w="432"/>
        <w:gridCol w:w="432"/>
        <w:gridCol w:w="620"/>
      </w:tblGrid>
      <w:tr>
        <w:trPr/>
        <w:tc>
          <w:tcPr>
            <w:tcW w:w="776"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r>
      <w:tr>
        <w:trPr/>
        <w:tc>
          <w:tcPr>
            <w:tcW w:w="21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001-38953</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45-1234222</w:t>
            </w:r>
          </w:p>
        </w:tc>
      </w:tr>
      <w:tr>
        <w:trPr/>
        <w:tc>
          <w:tcPr>
            <w:tcW w:w="214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(State or Other Jurisdiction</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of Incorporation)</w:t>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(Commission File Number)</w:t>
            </w:r>
          </w:p>
        </w:tc>
        <w:tc>
          <w:tcPr>
            <w:tcW w:w="14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(IRS Employer</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Identification No.)</w:t>
            </w:r>
          </w:p>
        </w:tc>
      </w:tr>
      <w:tr>
        <w:trPr/>
        <w:tc>
          <w:tcPr>
            <w:tcW w:w="2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20"/>
              </w:rPr>
              <w:t>55 Francisco Street</w:t>
            </w:r>
            <w:r>
              <w:rPr>
                <w:color w:val="000000"/>
              </w:rPr>
              <w:t xml:space="preserve"> </w:t>
            </w:r>
            <w:r>
              <w:rPr>
                <w:rFonts w:ascii="Times New Roman;serif" w:hAnsi="Times New Roman;serif"/>
                <w:b/>
                <w:color w:val="000000"/>
                <w:sz w:val="20"/>
              </w:rPr>
              <w:t xml:space="preserve">Suite 400 </w:t>
            </w:r>
          </w:p>
          <w:p>
            <w:pPr>
              <w:pStyle w:val="TableContents"/>
              <w:bidi w:val="0"/>
              <w:spacing w:lineRule="auto" w:line="288" w:before="0" w:after="0"/>
              <w:jc w:val="center"/>
              <w:rPr/>
            </w:pPr>
            <w:r>
              <w:rPr>
                <w:rFonts w:ascii="Times New Roman;serif" w:hAnsi="Times New Roman;serif"/>
                <w:b/>
                <w:color w:val="000000"/>
                <w:sz w:val="20"/>
              </w:rPr>
              <w:t>San Francisco</w:t>
            </w:r>
            <w:r>
              <w:rPr>
                <w:rFonts w:ascii="Arial;sans-serif" w:hAnsi="Arial;sans-serif"/>
                <w:b w:val="false"/>
                <w:color w:val="000000"/>
                <w:sz w:val="24"/>
              </w:rPr>
              <w:t xml:space="preserve">, </w:t>
            </w:r>
            <w:r>
              <w:rPr>
                <w:rFonts w:ascii="Times New Roman;serif" w:hAnsi="Times New Roman;serif"/>
                <w:b/>
                <w:color w:val="000000"/>
                <w:sz w:val="20"/>
              </w:rPr>
              <w:t>CA</w:t>
            </w:r>
            <w:r>
              <w:rPr>
                <w:color w:val="000000"/>
              </w:rPr>
              <w:t xml:space="preserve"> </w:t>
            </w:r>
            <w:r>
              <w:rPr>
                <w:rFonts w:ascii="Times New Roman;serif" w:hAnsi="Times New Roman;serif"/>
                <w:b/>
                <w:color w:val="000000"/>
                <w:sz w:val="20"/>
              </w:rPr>
              <w:t>94133</w:t>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(855) 435-5893</w:t>
      </w:r>
    </w:p>
    <w:p>
      <w:pPr>
        <w:pStyle w:val="TextBody"/>
        <w:bidi w:val="0"/>
        <w:spacing w:lineRule="auto" w:line="288" w:before="120" w:after="283"/>
        <w:jc w:val="center"/>
        <w:rPr>
          <w:rFonts w:ascii="Times New Roman;serif" w:hAnsi="Times New Roman;serif"/>
          <w:b/>
          <w:color w:val="000000"/>
          <w:sz w:val="14"/>
        </w:rPr>
      </w:pPr>
      <w:r>
        <w:rPr>
          <w:rFonts w:ascii="Times New Roman;serif" w:hAnsi="Times New Roman;serif"/>
          <w:b/>
          <w:color w:val="000000"/>
          <w:sz w:val="14"/>
        </w:rPr>
        <w:t>(Registrant’s Telephone Number, Including Area Code)</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(Former Name or Former Address, if Changed Since Last Report)</w:t>
      </w:r>
    </w:p>
    <w:p>
      <w:pPr>
        <w:pStyle w:val="TextBody"/>
        <w:bidi w:val="0"/>
        <w:spacing w:lineRule="auto" w:line="288" w:before="0" w:after="120"/>
        <w:jc w:val="center"/>
        <w:rPr>
          <w:rFonts w:ascii="Times New Roman;serif" w:hAnsi="Times New Roman;serif"/>
          <w:b w:val="false"/>
          <w:color w:val="000000"/>
          <w:sz w:val="14"/>
        </w:rPr>
      </w:pPr>
      <w:r>
        <w:rPr>
          <w:rFonts w:ascii="Times New Roman;serif" w:hAnsi="Times New Roman;serif"/>
          <w:b w:val="false"/>
          <w:color w:val="000000"/>
          <w:sz w:val="14"/>
        </w:rPr>
        <w:t>_______________________________________________________________________</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(see General Instructions A.2. below):</w:t>
      </w:r>
    </w:p>
    <w:tbl>
      <w:tblPr>
        <w:tblW w:w="7751" w:type="dxa"/>
        <w:jc w:val="left"/>
        <w:tblInd w:w="0" w:type="dxa"/>
        <w:tblLayout w:type="fixed"/>
        <w:tblCellMar>
          <w:top w:w="28" w:type="dxa"/>
          <w:left w:w="28" w:type="dxa"/>
          <w:bottom w:w="28" w:type="dxa"/>
          <w:right w:w="28" w:type="dxa"/>
        </w:tblCellMar>
      </w:tblPr>
      <w:tblGrid>
        <w:gridCol w:w="124"/>
        <w:gridCol w:w="109"/>
        <w:gridCol w:w="109"/>
        <w:gridCol w:w="2167"/>
        <w:gridCol w:w="2167"/>
        <w:gridCol w:w="30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30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7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bl>
    <w:tbl>
      <w:tblPr>
        <w:tblW w:w="7781" w:type="dxa"/>
        <w:jc w:val="left"/>
        <w:tblInd w:w="0" w:type="dxa"/>
        <w:tblLayout w:type="fixed"/>
        <w:tblCellMar>
          <w:top w:w="28" w:type="dxa"/>
          <w:left w:w="28" w:type="dxa"/>
          <w:bottom w:w="28" w:type="dxa"/>
          <w:right w:w="28" w:type="dxa"/>
        </w:tblCellMar>
      </w:tblPr>
      <w:tblGrid>
        <w:gridCol w:w="124"/>
        <w:gridCol w:w="109"/>
        <w:gridCol w:w="109"/>
        <w:gridCol w:w="2175"/>
        <w:gridCol w:w="2175"/>
        <w:gridCol w:w="3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7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bl>
    <w:tbl>
      <w:tblPr>
        <w:tblW w:w="9522" w:type="dxa"/>
        <w:jc w:val="left"/>
        <w:tblInd w:w="0" w:type="dxa"/>
        <w:tblLayout w:type="fixed"/>
        <w:tblCellMar>
          <w:top w:w="28" w:type="dxa"/>
          <w:left w:w="28" w:type="dxa"/>
          <w:bottom w:w="28" w:type="dxa"/>
          <w:right w:w="28" w:type="dxa"/>
        </w:tblCellMar>
      </w:tblPr>
      <w:tblGrid>
        <w:gridCol w:w="124"/>
        <w:gridCol w:w="109"/>
        <w:gridCol w:w="109"/>
        <w:gridCol w:w="2689"/>
        <w:gridCol w:w="2689"/>
        <w:gridCol w:w="38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38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bl>
    <w:tbl>
      <w:tblPr>
        <w:tblW w:w="9461" w:type="dxa"/>
        <w:jc w:val="left"/>
        <w:tblInd w:w="0" w:type="dxa"/>
        <w:tblLayout w:type="fixed"/>
        <w:tblCellMar>
          <w:top w:w="28" w:type="dxa"/>
          <w:left w:w="28" w:type="dxa"/>
          <w:bottom w:w="28" w:type="dxa"/>
          <w:right w:w="28" w:type="dxa"/>
        </w:tblCellMar>
      </w:tblPr>
      <w:tblGrid>
        <w:gridCol w:w="124"/>
        <w:gridCol w:w="109"/>
        <w:gridCol w:w="109"/>
        <w:gridCol w:w="2671"/>
        <w:gridCol w:w="2671"/>
        <w:gridCol w:w="37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7447" w:type="dxa"/>
        <w:jc w:val="left"/>
        <w:tblInd w:w="0" w:type="dxa"/>
        <w:tblLayout w:type="fixed"/>
        <w:tblCellMar>
          <w:top w:w="28" w:type="dxa"/>
          <w:left w:w="28" w:type="dxa"/>
          <w:bottom w:w="28" w:type="dxa"/>
          <w:right w:w="28" w:type="dxa"/>
        </w:tblCellMar>
      </w:tblPr>
      <w:tblGrid>
        <w:gridCol w:w="960"/>
        <w:gridCol w:w="842"/>
        <w:gridCol w:w="853"/>
        <w:gridCol w:w="109"/>
        <w:gridCol w:w="109"/>
        <w:gridCol w:w="109"/>
        <w:gridCol w:w="274"/>
        <w:gridCol w:w="274"/>
        <w:gridCol w:w="276"/>
        <w:gridCol w:w="109"/>
        <w:gridCol w:w="109"/>
        <w:gridCol w:w="109"/>
        <w:gridCol w:w="970"/>
        <w:gridCol w:w="970"/>
        <w:gridCol w:w="1374"/>
      </w:tblGrid>
      <w:tr>
        <w:trPr/>
        <w:tc>
          <w:tcPr>
            <w:tcW w:w="960"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26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Trading</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Name of each exchange on which registered</w:t>
            </w:r>
          </w:p>
        </w:tc>
      </w:tr>
      <w:tr>
        <w:trPr/>
        <w:tc>
          <w:tcPr>
            <w:tcW w:w="26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Common stock, $0.00001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REAL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The Nasdaq Global Select Market</w:t>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lineRule="auto" w:line="288" w:before="120" w:after="283"/>
        <w:jc w:val="left"/>
        <w:rPr/>
      </w:pPr>
      <w:r>
        <w:rPr>
          <w:rFonts w:ascii="Times New Roman;serif" w:hAnsi="Times New Roman;serif"/>
          <w:b w:val="false"/>
          <w:color w:val="000000"/>
          <w:sz w:val="20"/>
        </w:rPr>
        <w:t>Emerging growth company </w:t>
      </w:r>
      <w:r>
        <w:rPr>
          <w:rFonts w:ascii="Wingdings;sans-serif" w:hAnsi="Wingdings;sans-serif"/>
          <w:b w:val="false"/>
          <w:color w:val="000000"/>
          <w:sz w:val="20"/>
        </w:rPr>
        <w:t>o</w:t>
      </w:r>
    </w:p>
    <w:p>
      <w:pPr>
        <w:pStyle w:val="TextBody"/>
        <w:bidi w:val="0"/>
        <w:spacing w:lineRule="auto" w:line="288" w:before="120" w:after="283"/>
        <w:jc w:val="left"/>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lineRule="auto" w:line="288" w:before="120" w:after="283"/>
        <w:ind w:left="0" w:right="0" w:firstLine="556"/>
        <w:jc w:val="left"/>
        <w:rPr>
          <w:rFonts w:ascii="Times New Roman;serif" w:hAnsi="Times New Roman;serif"/>
          <w:b w:val="false"/>
          <w:color w:val="000000"/>
          <w:sz w:val="20"/>
        </w:rPr>
      </w:pPr>
      <w:r>
        <w:rPr>
          <w:rFonts w:ascii="Times New Roman;serif" w:hAnsi="Times New Roman;serif"/>
          <w:b w:val="false"/>
          <w:color w:val="000000"/>
          <w:sz w:val="20"/>
        </w:rPr>
        <w:t>On May 7, 2026, The RealReal, Inc. (“The RealReal”) issued a press release announcing its financial results for the quarter ended March 31, 2026. A copy of the press release is furnished as Exhibit 99.1 to this Current Report on Form 8-K and is incorporated by reference herein.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(d) Exhibits</w:t>
      </w:r>
    </w:p>
    <w:tbl>
      <w:tblPr>
        <w:tblW w:w="7633" w:type="dxa"/>
        <w:jc w:val="left"/>
        <w:tblInd w:w="0" w:type="dxa"/>
        <w:tblLayout w:type="fixed"/>
        <w:tblCellMar>
          <w:top w:w="28" w:type="dxa"/>
          <w:left w:w="28" w:type="dxa"/>
          <w:bottom w:w="28" w:type="dxa"/>
          <w:right w:w="28" w:type="dxa"/>
        </w:tblCellMar>
      </w:tblPr>
      <w:tblGrid>
        <w:gridCol w:w="255"/>
        <w:gridCol w:w="225"/>
        <w:gridCol w:w="226"/>
        <w:gridCol w:w="109"/>
        <w:gridCol w:w="109"/>
        <w:gridCol w:w="109"/>
        <w:gridCol w:w="1927"/>
        <w:gridCol w:w="1927"/>
        <w:gridCol w:w="2746"/>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7" w:type="dxa"/>
            <w:tcBorders/>
            <w:vAlign w:val="center"/>
          </w:tcPr>
          <w:p>
            <w:pPr>
              <w:pStyle w:val="TableContents"/>
              <w:bidi w:val="0"/>
              <w:spacing w:before="0" w:after="283"/>
              <w:jc w:val="left"/>
              <w:rPr>
                <w:sz w:val="4"/>
                <w:szCs w:val="4"/>
              </w:rPr>
            </w:pPr>
            <w:r>
              <w:rPr>
                <w:sz w:val="4"/>
                <w:szCs w:val="4"/>
              </w:rPr>
            </w:r>
          </w:p>
        </w:tc>
        <w:tc>
          <w:tcPr>
            <w:tcW w:w="1927" w:type="dxa"/>
            <w:tcBorders/>
            <w:vAlign w:val="center"/>
          </w:tcPr>
          <w:p>
            <w:pPr>
              <w:pStyle w:val="TableContents"/>
              <w:bidi w:val="0"/>
              <w:spacing w:before="0" w:after="283"/>
              <w:jc w:val="left"/>
              <w:rPr>
                <w:sz w:val="4"/>
                <w:szCs w:val="4"/>
              </w:rPr>
            </w:pPr>
            <w:r>
              <w:rPr>
                <w:sz w:val="4"/>
                <w:szCs w:val="4"/>
              </w:rPr>
            </w:r>
          </w:p>
        </w:tc>
        <w:tc>
          <w:tcPr>
            <w:tcW w:w="2746"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6"/>
              </w:rPr>
            </w:pPr>
            <w:r>
              <w:rPr>
                <w:rFonts w:ascii="Times New Roman;serif" w:hAnsi="Times New Roman;serif"/>
                <w:b/>
                <w:color w:val="000000"/>
                <w:sz w:val="16"/>
              </w:rPr>
              <w:t>Exhibit</w:t>
            </w:r>
          </w:p>
          <w:p>
            <w:pPr>
              <w:pStyle w:val="TableContents"/>
              <w:bidi w:val="0"/>
              <w:spacing w:lineRule="auto" w:line="288" w:before="0" w:after="0"/>
              <w:jc w:val="left"/>
              <w:rPr>
                <w:rFonts w:ascii="Times New Roman;serif" w:hAnsi="Times New Roman;serif"/>
                <w:b/>
                <w:color w:val="000000"/>
                <w:sz w:val="16"/>
              </w:rPr>
            </w:pPr>
            <w:r>
              <w:rPr>
                <w:rFonts w:ascii="Times New Roman;serif" w:hAnsi="Times New Roman;serif"/>
                <w:b/>
                <w:color w:val="000000"/>
                <w:sz w:val="16"/>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Description</w:t>
            </w:r>
          </w:p>
        </w:tc>
      </w:tr>
      <w:tr>
        <w:trPr/>
        <w:tc>
          <w:tcPr>
            <w:tcW w:w="7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pPr>
            <w:hyperlink w:anchor="real-20260507xex991pressre.htm">
              <w:r>
                <w:rPr>
                  <w:rStyle w:val="InternetLink"/>
                  <w:rFonts w:ascii="Times New Roman;serif" w:hAnsi="Times New Roman;serif"/>
                  <w:b w:val="false"/>
                  <w:color w:val="000080"/>
                  <w:sz w:val="20"/>
                  <w:u w:val="single"/>
                </w:rPr>
                <w:t xml:space="preserve">Press Release dated May </w:t>
              </w:r>
            </w:hyperlink>
            <w:hyperlink w:anchor="real-20260507xex991pressre.htm">
              <w:r>
                <w:rPr>
                  <w:rStyle w:val="InternetLink"/>
                  <w:rFonts w:ascii="Times New Roman;serif" w:hAnsi="Times New Roman;serif"/>
                  <w:b w:val="false"/>
                  <w:color w:val="000080"/>
                  <w:sz w:val="20"/>
                  <w:u w:val="single"/>
                </w:rPr>
                <w:t>7</w:t>
              </w:r>
            </w:hyperlink>
            <w:hyperlink w:anchor="real-20260507xex991pressre.htm">
              <w:r>
                <w:rPr>
                  <w:rStyle w:val="InternetLink"/>
                  <w:rFonts w:ascii="Times New Roman;serif" w:hAnsi="Times New Roman;serif"/>
                  <w:b w:val="false"/>
                  <w:color w:val="000080"/>
                  <w:sz w:val="20"/>
                  <w:u w:val="single"/>
                </w:rPr>
                <w:t>, 202</w:t>
              </w:r>
            </w:hyperlink>
            <w:hyperlink w:anchor="real-20260507xex991pressre.htm">
              <w:r>
                <w:rPr>
                  <w:rStyle w:val="InternetLink"/>
                  <w:rFonts w:ascii="Times New Roman;serif" w:hAnsi="Times New Roman;serif"/>
                  <w:b w:val="false"/>
                  <w:color w:val="000080"/>
                  <w:sz w:val="20"/>
                  <w:u w:val="single"/>
                </w:rPr>
                <w:t>6</w:t>
              </w:r>
            </w:hyperlink>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4502" w:type="dxa"/>
        <w:jc w:val="left"/>
        <w:tblInd w:w="0" w:type="dxa"/>
        <w:tblLayout w:type="fixed"/>
        <w:tblCellMar>
          <w:top w:w="28" w:type="dxa"/>
          <w:left w:w="28" w:type="dxa"/>
          <w:bottom w:w="28" w:type="dxa"/>
          <w:right w:w="28" w:type="dxa"/>
        </w:tblCellMar>
      </w:tblPr>
      <w:tblGrid>
        <w:gridCol w:w="591"/>
        <w:gridCol w:w="520"/>
        <w:gridCol w:w="523"/>
        <w:gridCol w:w="256"/>
        <w:gridCol w:w="256"/>
        <w:gridCol w:w="256"/>
        <w:gridCol w:w="611"/>
        <w:gridCol w:w="611"/>
        <w:gridCol w:w="878"/>
      </w:tblGrid>
      <w:tr>
        <w:trPr/>
        <w:tc>
          <w:tcPr>
            <w:tcW w:w="59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RealReal, Inc.</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May 7, 2026</w:t>
            </w:r>
          </w:p>
        </w:tc>
        <w:tc>
          <w:tcPr>
            <w:tcW w:w="7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1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Ajay Madan Gopal</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Ajay Madan Gopal</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Exhibit 99.1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THE REALREAL ANNOUNCES FIRST QUARTER 2026 RESULTS</w:t>
      </w:r>
    </w:p>
    <w:p>
      <w:pPr>
        <w:pStyle w:val="TextBody"/>
        <w:bidi w:val="0"/>
        <w:spacing w:lineRule="auto" w:line="288" w:before="0" w:after="0"/>
        <w:jc w:val="center"/>
        <w:rPr>
          <w:rFonts w:ascii="Times New Roman;serif" w:hAnsi="Times New Roman;serif"/>
          <w:b w:val="false"/>
          <w:i/>
          <w:color w:val="000000"/>
          <w:sz w:val="22"/>
        </w:rPr>
      </w:pPr>
      <w:r>
        <w:rPr>
          <w:rFonts w:ascii="Times New Roman;serif" w:hAnsi="Times New Roman;serif"/>
          <w:b w:val="false"/>
          <w:i/>
          <w:color w:val="000000"/>
          <w:sz w:val="22"/>
        </w:rPr>
        <w:t xml:space="preserve">Company delivered strong topline growth, improved operating cash flow, </w:t>
      </w:r>
    </w:p>
    <w:p>
      <w:pPr>
        <w:pStyle w:val="TextBody"/>
        <w:bidi w:val="0"/>
        <w:spacing w:lineRule="auto" w:line="288" w:before="0" w:after="0"/>
        <w:jc w:val="center"/>
        <w:rPr>
          <w:rFonts w:ascii="Times New Roman;serif" w:hAnsi="Times New Roman;serif"/>
          <w:b w:val="false"/>
          <w:i/>
          <w:color w:val="000000"/>
          <w:sz w:val="22"/>
        </w:rPr>
      </w:pPr>
      <w:r>
        <w:rPr>
          <w:rFonts w:ascii="Times New Roman;serif" w:hAnsi="Times New Roman;serif"/>
          <w:b w:val="false"/>
          <w:i/>
          <w:color w:val="000000"/>
          <w:sz w:val="22"/>
        </w:rPr>
        <w:t>and accelerated growth in trailing-12 month Active Buyers</w: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68" w:before="0" w:after="0"/>
        <w:jc w:val="left"/>
        <w:rPr/>
      </w:pPr>
      <w:r>
        <w:rPr>
          <w:rFonts w:ascii="Times New Roman;serif" w:hAnsi="Times New Roman;serif"/>
          <w:b/>
          <w:color w:val="000000"/>
          <w:sz w:val="22"/>
        </w:rPr>
        <w:t xml:space="preserve">SAN FRANCISCO, May 7, 2026 </w:t>
      </w:r>
      <w:r>
        <w:rPr>
          <w:rFonts w:ascii="Times New Roman;serif" w:hAnsi="Times New Roman;serif"/>
          <w:b w:val="false"/>
          <w:color w:val="000000"/>
          <w:sz w:val="22"/>
        </w:rPr>
        <w:t xml:space="preserve">-The RealReal, Inc. (Nasdaq: REAL)—the world’s largest online marketplace for authenticated, resale luxury goods—today reported financial results for its first quarter ended March 31, 2026. First quarter 2026 gross merchandise value (GMV) and total revenue increased 24% and 19% respectively, compared to the first quarter of 2025. Consignment revenue grew 18% compared to the prior year period, and Direct Revenue grew 26% year-over-year in the first quarter. First quarter Adjusted EBITDA improved $9 million compared to the first quarter of 2025. </w:t>
      </w:r>
    </w:p>
    <w:p>
      <w:pPr>
        <w:pStyle w:val="TextBody"/>
        <w:bidi w:val="0"/>
        <w:spacing w:before="0" w:after="0"/>
        <w:jc w:val="left"/>
        <w:rPr/>
      </w:pPr>
      <w:r>
        <w:rPr/>
      </w:r>
    </w:p>
    <w:p>
      <w:pPr>
        <w:pStyle w:val="TextBody"/>
        <w:bidi w:val="0"/>
        <w:spacing w:lineRule="auto" w:line="268" w:before="0" w:after="0"/>
        <w:jc w:val="left"/>
        <w:rPr>
          <w:color w:val="000000"/>
        </w:rPr>
      </w:pPr>
      <w:r>
        <w:rPr>
          <w:color w:val="000000"/>
        </w:rPr>
        <w:t>“</w:t>
      </w:r>
      <w:r>
        <w:rPr>
          <w:rFonts w:ascii="Times New Roman;serif" w:hAnsi="Times New Roman;serif"/>
          <w:b w:val="false"/>
          <w:color w:val="000000"/>
          <w:sz w:val="22"/>
        </w:rPr>
        <w:t xml:space="preserve">In Q1, we delivered another quarter of growth along with Adjusted EBITDA margin expansion as our financial results exceeded expectations: GMV was up 24% and adjusted EBITDA margin expanded over 400 basis points. The strength of our platform — our customer relationships, our data, our brand, and our scale — was on display in the first quarter,” said Rati Levesque, President and Chief Executive Officer of The RealReal.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Levesque continued, "Through disciplined execution of our three strategic pillars, unlocking supply through our growth playbook, obsessing over service, and operational excellence, we are extending our leadership position in the growing luxury resale market. Our buyer growth, led by Gen Z and Millennials, reinforces that resale is a core component of the future of luxury. We are solidifying The RealReal as the operating system for luxury ownership.”</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2"/>
          <w:u w:val="single"/>
        </w:rPr>
      </w:pPr>
      <w:r>
        <w:rPr>
          <w:rFonts w:ascii="Times New Roman;serif" w:hAnsi="Times New Roman;serif"/>
          <w:b/>
          <w:color w:val="000000"/>
          <w:sz w:val="22"/>
          <w:u w:val="single"/>
        </w:rPr>
        <w:t>First Quarter Highlights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2"/>
          <w:shd w:fill="FFFFFF" w:val="clear"/>
        </w:rPr>
        <w:t>GMV wa</w:t>
      </w:r>
      <w:r>
        <w:rPr>
          <w:rFonts w:ascii="Times New Roman;serif" w:hAnsi="Times New Roman;serif"/>
          <w:b w:val="false"/>
          <w:color w:val="000000"/>
          <w:sz w:val="22"/>
        </w:rPr>
        <w:t>s $606 million, an increase of 24% compared to the same period in 2025</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2"/>
        </w:rPr>
        <w:t>Total Revenue was $190 million, an increase of 19% compared to the same period in 2025</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2"/>
        </w:rPr>
        <w:t>Gross Profit was $141 million, an increase of $21 million compared to the same period in 2025</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2"/>
        </w:rPr>
        <w:t xml:space="preserve">Gross Margin was 74.5%, a decrease of 50 basis points compared to the same period in 2025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2"/>
        </w:rPr>
        <w:t>Net Income was $39 million or 20.5% of total revenue, compared to $62 million or 39.0% of total revenue in the same period in 2025</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2"/>
        </w:rPr>
        <w:t>Adjusted EBITDA was $13.1 million or 6.9% of total revenue compared to $4.1 million or 2.6% of total revenue in the same period in 2025</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2"/>
        </w:rPr>
        <w:t xml:space="preserve">GAAP basic net income (loss) per share was $0.33 compared to $0.56 in the prior year period and GAAP diluted net loss per share was $(0.07) compared to $(0.14) in the prior year period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2"/>
        </w:rPr>
        <w:t>Non-GAAP basic and diluted net loss attributable to common shareholders per share was $(0.01) compared to $(0.08) in the prior year period</w:t>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2"/>
        </w:rPr>
        <w:t>Top-line-related Metrics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2"/>
        </w:rPr>
        <w:t xml:space="preserve">Trailing twelve months active buyer count was 1,083,000, an increase of 10% compared to the same period in 2025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2"/>
        </w:rPr>
        <w:t>Average order value (AOV) was $646, an increase of 15% versus the same period in 2025</w:t>
      </w:r>
    </w:p>
    <w:p>
      <w:pPr>
        <w:pStyle w:val="TextBody"/>
        <w:bidi w:val="0"/>
        <w:spacing w:lineRule="auto" w:line="288" w:before="240" w:after="283"/>
        <w:jc w:val="left"/>
        <w:rPr>
          <w:rFonts w:ascii="Times New Roman;serif" w:hAnsi="Times New Roman;serif"/>
          <w:b/>
          <w:color w:val="000000"/>
          <w:sz w:val="22"/>
          <w:u w:val="single"/>
        </w:rPr>
      </w:pPr>
      <w:r>
        <w:rPr>
          <w:rFonts w:ascii="Times New Roman;serif" w:hAnsi="Times New Roman;serif"/>
          <w:b/>
          <w:color w:val="000000"/>
          <w:sz w:val="22"/>
          <w:u w:val="single"/>
        </w:rPr>
        <w:t>Q2 and Full Year 2026 Guidance</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Based on market conditions as of May 7, 2026, we are increasing our full year guidance. Additionally, we are providing guidance for second quarter 2026 GMV, Total Revenue and Adjusted EBITDA, which is a Non-GAAP financial measure. </w:t>
      </w:r>
    </w:p>
    <w:p>
      <w:pPr>
        <w:pStyle w:val="TextBody"/>
        <w:bidi w:val="0"/>
        <w:spacing w:lineRule="auto" w:line="288" w:before="180" w:after="283"/>
        <w:jc w:val="left"/>
        <w:rPr>
          <w:rFonts w:ascii="Times New Roman;serif" w:hAnsi="Times New Roman;serif"/>
          <w:b w:val="false"/>
          <w:color w:val="000000"/>
          <w:sz w:val="22"/>
        </w:rPr>
      </w:pPr>
      <w:r>
        <w:rPr>
          <w:rFonts w:ascii="Times New Roman;serif" w:hAnsi="Times New Roman;serif"/>
          <w:b w:val="false"/>
          <w:color w:val="000000"/>
          <w:sz w:val="22"/>
        </w:rPr>
        <w:t>We have not reconciled forward-looking Adjusted EBITDA to net income (loss), the most directly comparable GAAP measure, because we cannot predict with reasonable certainty the ultimate outcome of certain components of such reconciliations, including payroll tax expense on employee stock transactions, that are not within our control, or other components that may arise, without unreasonable effort. For these reasons, we are unable to assess the probable significance of the unavailable information, which could materially impact the amount of future net income (loss).</w:t>
      </w: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tbl>
      <w:tblPr>
        <w:tblW w:w="6103" w:type="dxa"/>
        <w:jc w:val="left"/>
        <w:tblInd w:w="0" w:type="dxa"/>
        <w:tblLayout w:type="fixed"/>
        <w:tblCellMar>
          <w:top w:w="28" w:type="dxa"/>
          <w:left w:w="28" w:type="dxa"/>
          <w:bottom w:w="28" w:type="dxa"/>
          <w:right w:w="28" w:type="dxa"/>
        </w:tblCellMar>
      </w:tblPr>
      <w:tblGrid>
        <w:gridCol w:w="695"/>
        <w:gridCol w:w="609"/>
        <w:gridCol w:w="615"/>
        <w:gridCol w:w="698"/>
        <w:gridCol w:w="698"/>
        <w:gridCol w:w="703"/>
        <w:gridCol w:w="610"/>
        <w:gridCol w:w="610"/>
        <w:gridCol w:w="865"/>
      </w:tblGrid>
      <w:tr>
        <w:trPr/>
        <w:tc>
          <w:tcPr>
            <w:tcW w:w="695"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2"/>
              </w:rPr>
            </w:pPr>
            <w:r>
              <w:rPr>
                <w:rFonts w:ascii="Times New Roman;serif" w:hAnsi="Times New Roman;serif"/>
                <w:b/>
                <w:color w:val="000000"/>
                <w:sz w:val="22"/>
              </w:rPr>
              <w:t>Q2 2026</w:t>
            </w:r>
          </w:p>
        </w:tc>
        <w:tc>
          <w:tcPr>
            <w:tcW w:w="208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2"/>
              </w:rPr>
            </w:pPr>
            <w:r>
              <w:rPr>
                <w:rFonts w:ascii="Times New Roman;serif" w:hAnsi="Times New Roman;serif"/>
                <w:b/>
                <w:color w:val="000000"/>
                <w:sz w:val="22"/>
              </w:rPr>
              <w:t>Full Year 2026</w:t>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GMV</w:t>
            </w:r>
          </w:p>
        </w:tc>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$590 - $600 million</w:t>
            </w:r>
          </w:p>
        </w:tc>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$2.42 - $2.47 billion</w:t>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Total Revenue</w:t>
            </w:r>
          </w:p>
        </w:tc>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$186 - $189 million</w:t>
            </w:r>
          </w:p>
        </w:tc>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$770 - $784 million</w:t>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Adjusted EBITDA</w:t>
            </w:r>
          </w:p>
        </w:tc>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$11.0 - $12.0 million</w:t>
            </w:r>
          </w:p>
        </w:tc>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$59 - $67 million</w:t>
            </w:r>
          </w:p>
        </w:tc>
      </w:tr>
    </w:tbl>
    <w:p>
      <w:pPr>
        <w:pStyle w:val="TextBody"/>
        <w:bidi w:val="0"/>
        <w:spacing w:lineRule="auto" w:line="288" w:before="240" w:after="283"/>
        <w:jc w:val="left"/>
        <w:rPr>
          <w:rFonts w:ascii="Times New Roman;serif" w:hAnsi="Times New Roman;serif"/>
          <w:b/>
          <w:color w:val="000000"/>
          <w:sz w:val="22"/>
          <w:u w:val="single"/>
          <w:shd w:fill="FFFFFF" w:val="clear"/>
        </w:rPr>
      </w:pPr>
      <w:r>
        <w:rPr>
          <w:rFonts w:ascii="Times New Roman;serif" w:hAnsi="Times New Roman;serif"/>
          <w:b/>
          <w:color w:val="000000"/>
          <w:sz w:val="22"/>
          <w:u w:val="single"/>
          <w:shd w:fill="FFFFFF" w:val="clear"/>
        </w:rPr>
        <w:t>Webcast and Conference Call</w:t>
      </w:r>
    </w:p>
    <w:p>
      <w:pPr>
        <w:pStyle w:val="TextBody"/>
        <w:bidi w:val="0"/>
        <w:spacing w:lineRule="auto" w:line="268" w:before="0" w:after="0"/>
        <w:jc w:val="left"/>
        <w:rPr/>
      </w:pPr>
      <w:r>
        <w:rPr>
          <w:rFonts w:ascii="Times New Roman;serif" w:hAnsi="Times New Roman;serif"/>
          <w:b w:val="false"/>
          <w:color w:val="000000"/>
          <w:sz w:val="22"/>
        </w:rPr>
        <w:t xml:space="preserve">The RealReal will host a conference call to review the company’s first quarter results beginning at approximately 2:00 p.m. Pacific Time today (5:00 p.m. Eastern Time). A live webcast of the conference call and accompanying materials will be available online at </w:t>
      </w:r>
      <w:r>
        <w:rPr>
          <w:rFonts w:ascii="Times New Roman;serif" w:hAnsi="Times New Roman;serif"/>
          <w:b w:val="false"/>
          <w:color w:val="3051F2"/>
          <w:sz w:val="22"/>
        </w:rPr>
        <w:t>investor.therealreal.com</w:t>
      </w:r>
      <w:r>
        <w:rPr>
          <w:rFonts w:ascii="Times New Roman;serif" w:hAnsi="Times New Roman;serif"/>
          <w:b w:val="false"/>
          <w:color w:val="000000"/>
          <w:sz w:val="22"/>
        </w:rPr>
        <w:t xml:space="preserve">. A replay of the webcast will be available at the same location. To access the conference call by phone, participants will need to register to obtain a dial-in phone number and an access code. Please register using this link: </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https://the-realreal-earnings-call-q1-2026.open-exchange.net/registration.</w:t>
      </w:r>
    </w:p>
    <w:p>
      <w:pPr>
        <w:pStyle w:val="TextBody"/>
        <w:bidi w:val="0"/>
        <w:spacing w:lineRule="auto" w:line="288" w:before="240" w:after="283"/>
        <w:jc w:val="left"/>
        <w:rPr>
          <w:rFonts w:ascii="Times New Roman;serif" w:hAnsi="Times New Roman;serif"/>
          <w:b/>
          <w:color w:val="000000"/>
          <w:sz w:val="22"/>
          <w:shd w:fill="FFFFFF" w:val="clear"/>
        </w:rPr>
      </w:pPr>
      <w:r>
        <w:rPr>
          <w:rFonts w:ascii="Times New Roman;serif" w:hAnsi="Times New Roman;serif"/>
          <w:b/>
          <w:color w:val="000000"/>
          <w:sz w:val="22"/>
          <w:shd w:fill="FFFFFF" w:val="clear"/>
        </w:rPr>
        <w:t>About The RealReal, Inc.</w:t>
      </w:r>
    </w:p>
    <w:p>
      <w:pPr>
        <w:pStyle w:val="TextBody"/>
        <w:bidi w:val="0"/>
        <w:spacing w:lineRule="auto" w:line="288" w:before="240" w:after="283"/>
        <w:jc w:val="left"/>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The RealReal is the world’s largest online marketplace for authenticated, resale luxury goods, trusted by more than 40 million members. Our full-service consignment model—offering virtual appointments, in-home pickup, drop-off, and direct shipping—enables consumers to buy and sell luxury across fashion, fine jewelry and watches, art, and home categories with ease. The company combines a rigorous, expert-led authentication process with proprietary technology, including AI and machine learning, to power optimal pricing and processing for our members and to help scale the business. By extending the life of millions of luxury goods, the company is leading a more circular economy, all the while delivering a seamless experience for buyers and sellers.</w:t>
      </w:r>
    </w:p>
    <w:p>
      <w:pPr>
        <w:pStyle w:val="TextBody"/>
        <w:bidi w:val="0"/>
        <w:spacing w:lineRule="auto" w:line="288" w:before="480" w:after="283"/>
        <w:jc w:val="left"/>
        <w:rPr>
          <w:rFonts w:ascii="Times New Roman;serif" w:hAnsi="Times New Roman;serif"/>
          <w:b/>
          <w:color w:val="000000"/>
          <w:sz w:val="22"/>
          <w:shd w:fill="FFFFFF" w:val="clear"/>
        </w:rPr>
      </w:pPr>
      <w:r>
        <w:rPr>
          <w:rFonts w:ascii="Times New Roman;serif" w:hAnsi="Times New Roman;serif"/>
          <w:b/>
          <w:color w:val="000000"/>
          <w:sz w:val="22"/>
          <w:shd w:fill="FFFFFF" w:val="clear"/>
        </w:rPr>
        <w:t>Investor Relations Contact:</w:t>
      </w:r>
    </w:p>
    <w:p>
      <w:pPr>
        <w:pStyle w:val="TextBody"/>
        <w:bidi w:val="0"/>
        <w:spacing w:lineRule="auto" w:line="288" w:before="0" w:after="0"/>
        <w:jc w:val="left"/>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IR@therealreal.com</w:t>
      </w:r>
    </w:p>
    <w:p>
      <w:pPr>
        <w:pStyle w:val="TextBody"/>
        <w:bidi w:val="0"/>
        <w:spacing w:lineRule="auto" w:line="288" w:before="480" w:after="283"/>
        <w:jc w:val="left"/>
        <w:rPr>
          <w:rFonts w:ascii="Times New Roman;serif" w:hAnsi="Times New Roman;serif"/>
          <w:b/>
          <w:color w:val="000000"/>
          <w:sz w:val="22"/>
          <w:shd w:fill="FFFFFF" w:val="clear"/>
        </w:rPr>
      </w:pPr>
      <w:r>
        <w:rPr>
          <w:rFonts w:ascii="Times New Roman;serif" w:hAnsi="Times New Roman;serif"/>
          <w:b/>
          <w:color w:val="000000"/>
          <w:sz w:val="22"/>
          <w:shd w:fill="FFFFFF" w:val="clear"/>
        </w:rPr>
        <w:t>Press Contact:</w:t>
      </w:r>
    </w:p>
    <w:p>
      <w:pPr>
        <w:pStyle w:val="TextBody"/>
        <w:bidi w:val="0"/>
        <w:spacing w:lineRule="auto" w:line="288" w:before="0" w:after="0"/>
        <w:jc w:val="left"/>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pr@therealreal.com</w:t>
      </w:r>
    </w:p>
    <w:p>
      <w:pPr>
        <w:pStyle w:val="TextBody"/>
        <w:bidi w:val="0"/>
        <w:spacing w:lineRule="auto" w:line="288" w:before="360" w:after="283"/>
        <w:jc w:val="left"/>
        <w:rPr>
          <w:rFonts w:ascii="Times New Roman;serif" w:hAnsi="Times New Roman;serif"/>
          <w:b/>
          <w:color w:val="000000"/>
          <w:sz w:val="22"/>
          <w:u w:val="single"/>
          <w:shd w:fill="FFFFFF" w:val="clear"/>
        </w:rPr>
      </w:pPr>
      <w:r>
        <w:rPr>
          <w:rFonts w:ascii="Times New Roman;serif" w:hAnsi="Times New Roman;serif"/>
          <w:b/>
          <w:color w:val="000000"/>
          <w:sz w:val="22"/>
          <w:u w:val="single"/>
          <w:shd w:fill="FFFFFF" w:val="clear"/>
        </w:rPr>
        <w:t>Forward Looking Statements</w:t>
      </w:r>
    </w:p>
    <w:p>
      <w:pPr>
        <w:pStyle w:val="TextBody"/>
        <w:bidi w:val="0"/>
        <w:spacing w:lineRule="auto" w:line="288" w:before="0" w:after="0"/>
        <w:jc w:val="left"/>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This press release contains forward-looking statements relating to, among other things, the future performance of The RealReal that are based on the company's current expectations, forecasts and assumptions and involve risks and uncertainties. In some cases, you can identify forward-looking statements by terminology such as “may,” “will,” “should,” “could,” “expect,” “plan,” anticipate,” target,” “contemplate,” “project,” “believe,” “estimate,” “predict,” “intend,” “potential,” “continue,” “ongoing” or the negative of these terms or other comparable terminology. These statements include, but are not limited to, statements about future operating and financial results, including our strategies, plans, commitments, objectives and goals, in particular in the context of the recent geopolitical events, and uncertainty surrounding macroeconomic trends, financial guidance, anticipated growth in 2026, the anticipated impact of generative AI, and medium-term goals and projections. Actual results could differ materially from those predicted or implied and reported results should not be considered as an indication of future performance. Other factors that could cause or contribute to such differences include, but are not limited to, inflation, macroeconomic uncertainty, geopolitical instability, any failure to generate a supply of consigned goods, pricing pressure on the consignment market resulting from discounting in the market for new goods, failure to efficiently and effectively operate our merchandising and fulfillment operations, labor shortages and other reasons.</w:t>
      </w:r>
    </w:p>
    <w:p>
      <w:pPr>
        <w:pStyle w:val="TextBody"/>
        <w:bidi w:val="0"/>
        <w:spacing w:before="0" w:after="0"/>
        <w:jc w:val="left"/>
        <w:rPr/>
      </w:pPr>
      <w:r>
        <w:rPr/>
      </w:r>
    </w:p>
    <w:p>
      <w:pPr>
        <w:pStyle w:val="TextBody"/>
        <w:bidi w:val="0"/>
        <w:spacing w:lineRule="auto" w:line="288"/>
        <w:jc w:val="left"/>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 xml:space="preserve">More information about factors that could affect the company's operating results is included under the captions “Risk Factors” and “Management's Discussion and Analysis of Financial Condition and Results of Operations” in the company's most recent Annual Report on Form 10-K for the year ended December 31, 2025 and subsequent Quarterly Reports on Form 10-Q, copies of which may be obtained by visiting the company's Investor Relations website at https://investor.therealreal.com or the SEC's website at www.sec.gov. Undue reliance should not be </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placed on the forward-looking statements in this press release, which are based on information available to the company on the date hereof. The company assumes no obligation to update such statements.</w:t>
      </w:r>
    </w:p>
    <w:p>
      <w:pPr>
        <w:pStyle w:val="TextBody"/>
        <w:bidi w:val="0"/>
        <w:spacing w:lineRule="auto" w:line="288" w:before="240" w:after="283"/>
        <w:jc w:val="left"/>
        <w:rPr>
          <w:rFonts w:ascii="Times New Roman;serif" w:hAnsi="Times New Roman;serif"/>
          <w:b/>
          <w:color w:val="000000"/>
          <w:sz w:val="22"/>
          <w:u w:val="single"/>
          <w:shd w:fill="FFFFFF" w:val="clear"/>
        </w:rPr>
      </w:pPr>
      <w:r>
        <w:rPr>
          <w:rFonts w:ascii="Times New Roman;serif" w:hAnsi="Times New Roman;serif"/>
          <w:b/>
          <w:color w:val="000000"/>
          <w:sz w:val="22"/>
          <w:u w:val="single"/>
          <w:shd w:fill="FFFFFF" w:val="clear"/>
        </w:rPr>
        <w:t>Non-GAAP Financial Measures</w:t>
      </w:r>
    </w:p>
    <w:p>
      <w:pPr>
        <w:pStyle w:val="TextBody"/>
        <w:bidi w:val="0"/>
        <w:spacing w:lineRule="auto" w:line="288" w:before="0" w:after="0"/>
        <w:jc w:val="left"/>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To supplement our unaudited and condensed financial statements presented in accordance with generally accepted accounting principles ("GAAP"), this earnings release and the accompanying tables and the related earnings conference call contain certain non-GAAP financial measures, including Adjusted EBITDA, Free Cash Flow, Adjusted EBITDA as a percentage of total revenue ("Adjusted EBITDA Margin"), non-GAAP net loss attributable to common stockholders, and non-GAAP net loss per share attributable to common stockholders, basic and diluted. We have provided a reconciliation of these non-GAAP financial measures to the most directly comparable GAAP financial measures in this earnings release.</w:t>
      </w:r>
    </w:p>
    <w:p>
      <w:pPr>
        <w:pStyle w:val="TextBody"/>
        <w:bidi w:val="0"/>
        <w:spacing w:lineRule="auto" w:line="288" w:before="240" w:after="283"/>
        <w:jc w:val="left"/>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We do not, nor do we suggest that investors should, consider such non-GAAP financial measures in isolation from, or as a substitute for, financial information prepared in accordance with GAAP. Investors should also note that non-GAAP financial measures we use may not be the same non-GAAP financial measures, and may not be calculated in the same manner, as that of other companies, including other companies in our industry.</w:t>
      </w:r>
    </w:p>
    <w:p>
      <w:pPr>
        <w:pStyle w:val="TextBody"/>
        <w:bidi w:val="0"/>
        <w:spacing w:lineRule="auto" w:line="288" w:before="240" w:after="283"/>
        <w:jc w:val="left"/>
        <w:rPr/>
      </w:pPr>
      <w:r>
        <w:rPr>
          <w:rFonts w:ascii="Times New Roman;serif" w:hAnsi="Times New Roman;serif"/>
          <w:b/>
          <w:color w:val="000000"/>
          <w:sz w:val="22"/>
          <w:shd w:fill="FFFFFF" w:val="clear"/>
        </w:rPr>
        <w:t>Adjusted EBITDA</w:t>
      </w:r>
      <w:r>
        <w:rPr>
          <w:color w:val="000000"/>
          <w:shd w:fill="FFFFFF" w:val="clear"/>
        </w:rPr>
        <w:t> </w:t>
      </w:r>
      <w:r>
        <w:rPr>
          <w:rFonts w:ascii="Times New Roman;serif" w:hAnsi="Times New Roman;serif"/>
          <w:b w:val="false"/>
          <w:color w:val="000000"/>
          <w:sz w:val="22"/>
          <w:shd w:fill="FFFFFF" w:val="clear"/>
        </w:rPr>
        <w:t>is a key performance measure that our management uses to assess our operating performance. Because Adjusted EBITDA facilitates internal comparisons of our historical operating performance on a more consistent basis, we use this measure as an overall assessment of our performance, to evaluate the effectiveness of our business strategies and for business planning purposes. Adjusted EBITDA may not be comparable to similarly titled metrics of other companies.</w:t>
      </w:r>
    </w:p>
    <w:p>
      <w:pPr>
        <w:pStyle w:val="TextBody"/>
        <w:bidi w:val="0"/>
        <w:spacing w:lineRule="auto" w:line="288" w:before="240" w:after="283"/>
        <w:jc w:val="left"/>
        <w:rPr/>
      </w:pPr>
      <w:r>
        <w:rPr>
          <w:rFonts w:ascii="Times New Roman;serif" w:hAnsi="Times New Roman;serif"/>
          <w:b w:val="false"/>
          <w:color w:val="000000"/>
          <w:sz w:val="22"/>
          <w:shd w:fill="FFFFFF" w:val="clear"/>
        </w:rPr>
        <w:t>We calculate </w:t>
      </w:r>
      <w:r>
        <w:rPr>
          <w:rFonts w:ascii="Times New Roman;serif" w:hAnsi="Times New Roman;serif"/>
          <w:b/>
          <w:color w:val="000000"/>
          <w:sz w:val="22"/>
          <w:shd w:fill="FFFFFF" w:val="clear"/>
        </w:rPr>
        <w:t>Adjusted EBITDA</w:t>
      </w:r>
      <w:r>
        <w:rPr>
          <w:color w:val="000000"/>
          <w:shd w:fill="FFFFFF" w:val="clear"/>
        </w:rPr>
        <w:t> </w:t>
      </w:r>
      <w:r>
        <w:rPr>
          <w:rFonts w:ascii="Times New Roman;serif" w:hAnsi="Times New Roman;serif"/>
          <w:b w:val="false"/>
          <w:color w:val="000000"/>
          <w:sz w:val="22"/>
          <w:shd w:fill="FFFFFF" w:val="clear"/>
        </w:rPr>
        <w:t>as net income (loss) before interest income, interest expense, provision (benefit) for income taxes, and depreciation and amortization, further adjusted to exclude stock-based compensation, employer payroll tax on employee stock transactions, restructuring charges, gain on extinguishment of debt, change in fair value of warrant liability and certain one-time expenses. The employer payroll tax expense related to employee stock transactions are tied to the vesting or exercise of underlying equity awards and the price of our common stock at the time of vesting, which may vary from period to period independent of the operating performance of our business.</w:t>
      </w:r>
      <w:r>
        <w:rPr>
          <w:color w:val="000000"/>
          <w:shd w:fill="FFFFFF" w:val="clear"/>
        </w:rPr>
        <w:t> </w:t>
      </w:r>
      <w:r>
        <w:rPr>
          <w:rFonts w:ascii="Times New Roman;serif" w:hAnsi="Times New Roman;serif"/>
          <w:b w:val="false"/>
          <w:color w:val="000000"/>
          <w:sz w:val="22"/>
          <w:shd w:fill="FFFFFF" w:val="clear"/>
        </w:rPr>
        <w:t>Adjusted EBITDA has certain limitations as the measure excludes the impact of certain expenses that are included in our statements of operations that are necessary to run our business and should not be considered as an alternative to net income (loss) or any other measure of financial performance calculated and presented in accordance with GAAP.</w:t>
      </w:r>
    </w:p>
    <w:p>
      <w:pPr>
        <w:pStyle w:val="TextBody"/>
        <w:bidi w:val="0"/>
        <w:spacing w:lineRule="auto" w:line="288" w:before="240" w:after="283"/>
        <w:jc w:val="left"/>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In particular, the exclusion of certain expenses in calculating Adjusted EBITDA and Adjusted EBITDA Margin facilitates operating performance comparisons on a period-to-period basis and, in the case of exclusion of the impact of stock-based compensation and the related employer payroll tax on employee stock transactions, excludes an item that we do not consider to be indicative of our core operating performance. Investors should, however, understand that stock-based compensation and the related employer payroll tax will be a significant recurring expense in our business and an important part of the compensation provided to our employees. Accordingly, we believe that Adjusted EBITDA and Adjusted EBITDA Margin provide useful information to investors and others in understanding and evaluating our operating results in the same manner as our management and board of directors.</w:t>
      </w:r>
    </w:p>
    <w:p>
      <w:pPr>
        <w:pStyle w:val="TextBody"/>
        <w:bidi w:val="0"/>
        <w:spacing w:lineRule="auto" w:line="288" w:before="240" w:after="283"/>
        <w:jc w:val="left"/>
        <w:rPr/>
      </w:pPr>
      <w:r>
        <w:rPr>
          <w:rFonts w:ascii="Times New Roman;serif" w:hAnsi="Times New Roman;serif"/>
          <w:b/>
          <w:color w:val="000000"/>
          <w:sz w:val="22"/>
          <w:shd w:fill="FFFFFF" w:val="clear"/>
        </w:rPr>
        <w:t>Free cash flow </w:t>
      </w:r>
      <w:r>
        <w:rPr>
          <w:rFonts w:ascii="Times New Roman;serif" w:hAnsi="Times New Roman;serif"/>
          <w:b w:val="false"/>
          <w:color w:val="000000"/>
          <w:sz w:val="22"/>
          <w:shd w:fill="FFFFFF" w:val="clear"/>
        </w:rPr>
        <w:t>is a non-GAAP financial measure that is calculated as net cash (used in) provided by operating activities less net cash used to purchase property and equipment and capitalized proprietary software development costs. We believe free cash flow is an important indicator of our business performance, as it measures the amount of cash we generate. Accordingly, we believe that free cash flow provides useful information to investors and others in understanding and evaluating our operating results in the same manner as our management.</w:t>
      </w:r>
    </w:p>
    <w:p>
      <w:pPr>
        <w:pStyle w:val="TextBody"/>
        <w:bidi w:val="0"/>
        <w:spacing w:lineRule="auto" w:line="288" w:before="240" w:after="283"/>
        <w:jc w:val="left"/>
        <w:rPr/>
      </w:pPr>
      <w:r>
        <w:rPr>
          <w:rFonts w:ascii="Times New Roman;serif" w:hAnsi="Times New Roman;serif"/>
          <w:b/>
          <w:color w:val="000000"/>
          <w:sz w:val="22"/>
          <w:shd w:fill="FFFFFF" w:val="clear"/>
        </w:rPr>
        <w:t>Non-GAAP net income (loss) per share attributable to common stockholders, basic and diluted</w:t>
      </w:r>
      <w:r>
        <w:rPr>
          <w:color w:val="000000"/>
          <w:shd w:fill="FFFFFF" w:val="clear"/>
        </w:rPr>
        <w:t> </w:t>
      </w:r>
      <w:r>
        <w:rPr>
          <w:rFonts w:ascii="Times New Roman;serif" w:hAnsi="Times New Roman;serif"/>
          <w:b w:val="false"/>
          <w:color w:val="000000"/>
          <w:sz w:val="22"/>
          <w:shd w:fill="FFFFFF" w:val="clear"/>
        </w:rPr>
        <w:t>is a non-GAAP financial measure that is calculated as GAAP net income (loss) plus stock-based compensation expense, provision (benefit) for income taxes, payroll tax expense on employee stock transaction</w:t>
      </w:r>
      <w:r>
        <w:rPr>
          <w:rFonts w:ascii="Times New Roman;serif" w:hAnsi="Times New Roman;serif"/>
          <w:b w:val="false"/>
          <w:color w:val="000000"/>
          <w:sz w:val="22"/>
        </w:rPr>
        <w:t xml:space="preserve">s, restructuring charges, gain </w:t>
      </w:r>
      <w:r>
        <w:rPr>
          <w:rFonts w:ascii="Times New Roman;serif" w:hAnsi="Times New Roman;serif"/>
          <w:b w:val="false"/>
          <w:color w:val="000000"/>
          <w:sz w:val="22"/>
          <w:shd w:fill="FFFFFF" w:val="clear"/>
        </w:rPr>
        <w:t xml:space="preserve">on extinguishment of debt, change in fair value of warrant liability, and certain one-time items divided by weighted </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240" w:after="283"/>
        <w:jc w:val="left"/>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average shares outstanding. We believe that making these adjustments before calculating per share amounts for all periods presented provides a more meaningful comparison between our operating results from period to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REALREAL,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Statements of Operations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and per share data)</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tbl>
      <w:tblPr>
        <w:tblW w:w="10205" w:type="dxa"/>
        <w:jc w:val="left"/>
        <w:tblInd w:w="0" w:type="dxa"/>
        <w:tblLayout w:type="fixed"/>
        <w:tblCellMar>
          <w:top w:w="28" w:type="dxa"/>
          <w:left w:w="28" w:type="dxa"/>
          <w:bottom w:w="28" w:type="dxa"/>
          <w:right w:w="28" w:type="dxa"/>
        </w:tblCellMar>
      </w:tblPr>
      <w:tblGrid>
        <w:gridCol w:w="2647"/>
        <w:gridCol w:w="2290"/>
        <w:gridCol w:w="2305"/>
        <w:gridCol w:w="241"/>
        <w:gridCol w:w="945"/>
        <w:gridCol w:w="109"/>
        <w:gridCol w:w="109"/>
        <w:gridCol w:w="109"/>
        <w:gridCol w:w="109"/>
        <w:gridCol w:w="241"/>
        <w:gridCol w:w="945"/>
        <w:gridCol w:w="155"/>
      </w:tblGrid>
      <w:tr>
        <w:trPr/>
        <w:tc>
          <w:tcPr>
            <w:tcW w:w="2647" w:type="dxa"/>
            <w:tcBorders/>
            <w:vAlign w:val="center"/>
          </w:tcPr>
          <w:p>
            <w:pPr>
              <w:pStyle w:val="TableContents"/>
              <w:bidi w:val="0"/>
              <w:spacing w:before="0" w:after="283"/>
              <w:jc w:val="left"/>
              <w:rPr>
                <w:sz w:val="4"/>
                <w:szCs w:val="4"/>
              </w:rPr>
            </w:pPr>
            <w:r>
              <w:rPr>
                <w:sz w:val="4"/>
                <w:szCs w:val="4"/>
              </w:rPr>
            </w:r>
          </w:p>
        </w:tc>
        <w:tc>
          <w:tcPr>
            <w:tcW w:w="2290" w:type="dxa"/>
            <w:tcBorders/>
            <w:vAlign w:val="center"/>
          </w:tcPr>
          <w:p>
            <w:pPr>
              <w:pStyle w:val="TableContents"/>
              <w:bidi w:val="0"/>
              <w:spacing w:before="0" w:after="283"/>
              <w:jc w:val="left"/>
              <w:rPr>
                <w:sz w:val="4"/>
                <w:szCs w:val="4"/>
              </w:rPr>
            </w:pPr>
            <w:r>
              <w:rPr>
                <w:sz w:val="4"/>
                <w:szCs w:val="4"/>
              </w:rPr>
            </w:r>
          </w:p>
        </w:tc>
        <w:tc>
          <w:tcPr>
            <w:tcW w:w="2305"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2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3"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r>
      <w:tr>
        <w:trPr/>
        <w:tc>
          <w:tcPr>
            <w:tcW w:w="72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72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Consignment revenue</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145,893 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123,814 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 revenue</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20,454 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Shipping services revenue</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15,765 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189,715 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160,033 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12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consignment revenue</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12,954 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direct revenue</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15,235 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shipping services revenue</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11,821 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 of revenue</w:t>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40,010 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141,334 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120,023 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2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Marketing</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15,855 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Operations and technology</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72,719 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66,978 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49,961 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2"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72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Total operating expenses </w:t>
            </w:r>
            <w:r>
              <w:rPr>
                <w:rFonts w:ascii="Times New Roman;serif" w:hAnsi="Times New Roman;serif"/>
                <w:b w:val="false"/>
                <w:color w:val="000000"/>
                <w:sz w:val="13"/>
              </w:rPr>
              <w:t>(1)</w:t>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143,608 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132,794 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(12,771)</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warrant liability</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42,503 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extinguishment of debt</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37,101 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(6,320)</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provision for income taxes</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62,495 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common stockholders</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62,400 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per share attributable to common stockholders, basic</w:t>
            </w:r>
          </w:p>
        </w:tc>
        <w:tc>
          <w:tcPr>
            <w:tcW w:w="24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0.33 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0.56 </w:t>
            </w:r>
          </w:p>
        </w:tc>
        <w:tc>
          <w:tcPr>
            <w:tcW w:w="15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per share attributable to common stockholders, diluted</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(0.14)</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used to compute net income per share attributable to common stockholders, basic</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119,523,593 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112,038,075 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used to compute net income (loss) per share attributable to common stockholders, diluted</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125,720,093 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120,779,324 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Includes stock-based compensation as follows:</w:t>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Marketing</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Operations and technology</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7,359 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REALREAL,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Balance Sheets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and per share data)</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tbl>
      <w:tblPr>
        <w:tblW w:w="10205" w:type="dxa"/>
        <w:jc w:val="left"/>
        <w:tblInd w:w="0" w:type="dxa"/>
        <w:tblLayout w:type="fixed"/>
        <w:tblCellMar>
          <w:top w:w="28" w:type="dxa"/>
          <w:left w:w="28" w:type="dxa"/>
          <w:bottom w:w="28" w:type="dxa"/>
          <w:right w:w="28" w:type="dxa"/>
        </w:tblCellMar>
      </w:tblPr>
      <w:tblGrid>
        <w:gridCol w:w="2918"/>
        <w:gridCol w:w="2341"/>
        <w:gridCol w:w="2272"/>
        <w:gridCol w:w="211"/>
        <w:gridCol w:w="829"/>
        <w:gridCol w:w="109"/>
        <w:gridCol w:w="109"/>
        <w:gridCol w:w="109"/>
        <w:gridCol w:w="109"/>
        <w:gridCol w:w="211"/>
        <w:gridCol w:w="829"/>
        <w:gridCol w:w="158"/>
      </w:tblGrid>
      <w:tr>
        <w:trPr/>
        <w:tc>
          <w:tcPr>
            <w:tcW w:w="2918" w:type="dxa"/>
            <w:tcBorders/>
            <w:vAlign w:val="center"/>
          </w:tcPr>
          <w:p>
            <w:pPr>
              <w:pStyle w:val="TableContents"/>
              <w:bidi w:val="0"/>
              <w:spacing w:before="0" w:after="283"/>
              <w:jc w:val="left"/>
              <w:rPr>
                <w:sz w:val="4"/>
                <w:szCs w:val="4"/>
              </w:rPr>
            </w:pPr>
            <w:r>
              <w:rPr>
                <w:sz w:val="4"/>
                <w:szCs w:val="4"/>
              </w:rPr>
            </w:r>
          </w:p>
        </w:tc>
        <w:tc>
          <w:tcPr>
            <w:tcW w:w="2341" w:type="dxa"/>
            <w:tcBorders/>
            <w:vAlign w:val="center"/>
          </w:tcPr>
          <w:p>
            <w:pPr>
              <w:pStyle w:val="TableContents"/>
              <w:bidi w:val="0"/>
              <w:spacing w:before="0" w:after="283"/>
              <w:jc w:val="left"/>
              <w:rPr>
                <w:sz w:val="4"/>
                <w:szCs w:val="4"/>
              </w:rPr>
            </w:pPr>
            <w:r>
              <w:rPr>
                <w:sz w:val="4"/>
                <w:szCs w:val="4"/>
              </w:rPr>
            </w:r>
          </w:p>
        </w:tc>
        <w:tc>
          <w:tcPr>
            <w:tcW w:w="227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1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b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7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1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1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123,952 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151,231 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23,822 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 net</w:t>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30,843 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21,595 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0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202,960 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227,491 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97,870 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96,148 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64,177 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64,641 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14,808 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385,912 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409,033 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and Stockholders’ Deficit</w:t>
            </w:r>
          </w:p>
        </w:tc>
        <w:tc>
          <w:tcPr>
            <w:tcW w:w="114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1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14,565 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consignor payable</w:t>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102,323 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111,497 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current portion</w:t>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24,645 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accrued and current liabilities</w:t>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101,417 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113,533 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0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241,099 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264,240 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net of current portion</w:t>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66,791 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66,793 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Convertible senior notes, net</w:t>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231,163 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230,833 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Non-convertible notes, net</w:t>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144,159 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140,980 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Warrant liability</w:t>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114,353 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liabilities</w:t>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7,352 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0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745,284 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824,551 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deficit:</w:t>
            </w:r>
          </w:p>
        </w:tc>
        <w:tc>
          <w:tcPr>
            <w:tcW w:w="114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$0.00001 par value; 500,000,000 shares authorized as of March 31, 2026, and December 31, 2025; 120,462,615 and 118,318,917 shares issued and outstanding as of March 31, 2026, and December 31, 2025, respectively</w:t>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897,317 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880,107 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(1,256,690)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(1,295,626)</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deficit</w:t>
            </w:r>
          </w:p>
        </w:tc>
        <w:tc>
          <w:tcPr>
            <w:tcW w:w="10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(359,372)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(415,518)</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deficit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385,912 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409,033 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REALREAL,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Statements of Cash Flows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tbl>
      <w:tblPr>
        <w:tblW w:w="9803" w:type="dxa"/>
        <w:jc w:val="left"/>
        <w:tblInd w:w="0" w:type="dxa"/>
        <w:tblLayout w:type="fixed"/>
        <w:tblCellMar>
          <w:top w:w="28" w:type="dxa"/>
          <w:left w:w="28" w:type="dxa"/>
          <w:bottom w:w="28" w:type="dxa"/>
          <w:right w:w="28" w:type="dxa"/>
        </w:tblCellMar>
      </w:tblPr>
      <w:tblGrid>
        <w:gridCol w:w="2582"/>
        <w:gridCol w:w="2271"/>
        <w:gridCol w:w="2286"/>
        <w:gridCol w:w="211"/>
        <w:gridCol w:w="826"/>
        <w:gridCol w:w="109"/>
        <w:gridCol w:w="109"/>
        <w:gridCol w:w="109"/>
        <w:gridCol w:w="109"/>
        <w:gridCol w:w="211"/>
        <w:gridCol w:w="826"/>
        <w:gridCol w:w="154"/>
      </w:tblGrid>
      <w:tr>
        <w:trPr/>
        <w:tc>
          <w:tcPr>
            <w:tcW w:w="2582" w:type="dxa"/>
            <w:tcBorders/>
            <w:vAlign w:val="center"/>
          </w:tcPr>
          <w:p>
            <w:pPr>
              <w:pStyle w:val="TableContents"/>
              <w:bidi w:val="0"/>
              <w:spacing w:before="0" w:after="283"/>
              <w:jc w:val="left"/>
              <w:rPr>
                <w:sz w:val="4"/>
                <w:szCs w:val="4"/>
              </w:rPr>
            </w:pPr>
            <w:r>
              <w:rPr>
                <w:sz w:val="4"/>
                <w:szCs w:val="4"/>
              </w:rPr>
            </w:r>
          </w:p>
        </w:tc>
        <w:tc>
          <w:tcPr>
            <w:tcW w:w="2271" w:type="dxa"/>
            <w:tcBorders/>
            <w:vAlign w:val="center"/>
          </w:tcPr>
          <w:p>
            <w:pPr>
              <w:pStyle w:val="TableContents"/>
              <w:bidi w:val="0"/>
              <w:spacing w:before="0" w:after="283"/>
              <w:jc w:val="left"/>
              <w:rPr>
                <w:sz w:val="4"/>
                <w:szCs w:val="4"/>
              </w:rPr>
            </w:pPr>
            <w:r>
              <w:rPr>
                <w:sz w:val="4"/>
                <w:szCs w:val="4"/>
              </w:rPr>
            </w:r>
          </w:p>
        </w:tc>
        <w:tc>
          <w:tcPr>
            <w:tcW w:w="22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r>
      <w:tr>
        <w:trPr/>
        <w:tc>
          <w:tcPr>
            <w:tcW w:w="7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7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operating activities: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62,400 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to cash used in operating activities: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Reduction of operating lease right-of-use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Bad debt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interest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7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Accretion of debt discounts and issuance costs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71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7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inventory write-downs and shrinkage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debt extinguishment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(37,101)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warrant liability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(42,503)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related to warehouse fire,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adjustments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operating assets and liabilities: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(14,460)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consignor payable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(7,440)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accrued and current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(9,254)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operating activities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(16,623)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(28,270)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 from investing activities: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Insurance proceeds related to warehouse fire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proprietary software development costs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and equipment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(10,640)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(5,859)</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 from financing activities: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exercise of stock options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Taxes paid related to restricted stock vesting</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received from settlement of capped calls in conjunction with the Note Exchanges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costs paid related to the Note Exchanges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provided by financing activities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decrease in cash, cash equivalents and restricted cash</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(27,279)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(32,662)</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cash equivalents and restricted cash</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of period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166,039 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187,123 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End of period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138,760 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154,461 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reflects the reconciliation of net income to Adjusted EBITDA for each of the periods indicated (in thousands):</w:t>
      </w:r>
    </w:p>
    <w:tbl>
      <w:tblPr>
        <w:tblW w:w="7248" w:type="dxa"/>
        <w:jc w:val="left"/>
        <w:tblInd w:w="0" w:type="dxa"/>
        <w:tblLayout w:type="fixed"/>
        <w:tblCellMar>
          <w:top w:w="28" w:type="dxa"/>
          <w:left w:w="28" w:type="dxa"/>
          <w:bottom w:w="28" w:type="dxa"/>
          <w:right w:w="28" w:type="dxa"/>
        </w:tblCellMar>
      </w:tblPr>
      <w:tblGrid>
        <w:gridCol w:w="1618"/>
        <w:gridCol w:w="1423"/>
        <w:gridCol w:w="1429"/>
        <w:gridCol w:w="211"/>
        <w:gridCol w:w="721"/>
        <w:gridCol w:w="271"/>
        <w:gridCol w:w="109"/>
        <w:gridCol w:w="109"/>
        <w:gridCol w:w="109"/>
        <w:gridCol w:w="211"/>
        <w:gridCol w:w="721"/>
        <w:gridCol w:w="316"/>
      </w:tblGrid>
      <w:tr>
        <w:trPr/>
        <w:tc>
          <w:tcPr>
            <w:tcW w:w="1618" w:type="dxa"/>
            <w:tcBorders/>
            <w:vAlign w:val="center"/>
          </w:tcPr>
          <w:p>
            <w:pPr>
              <w:pStyle w:val="TableContents"/>
              <w:bidi w:val="0"/>
              <w:spacing w:before="0" w:after="283"/>
              <w:jc w:val="left"/>
              <w:rPr>
                <w:sz w:val="4"/>
                <w:szCs w:val="4"/>
              </w:rPr>
            </w:pPr>
            <w:r>
              <w:rPr>
                <w:sz w:val="4"/>
                <w:szCs w:val="4"/>
              </w:rPr>
            </w:r>
          </w:p>
        </w:tc>
        <w:tc>
          <w:tcPr>
            <w:tcW w:w="1423" w:type="dxa"/>
            <w:tcBorders/>
            <w:vAlign w:val="center"/>
          </w:tcPr>
          <w:p>
            <w:pPr>
              <w:pStyle w:val="TableContents"/>
              <w:bidi w:val="0"/>
              <w:spacing w:before="0" w:after="283"/>
              <w:jc w:val="left"/>
              <w:rPr>
                <w:sz w:val="4"/>
                <w:szCs w:val="4"/>
              </w:rPr>
            </w:pPr>
            <w:r>
              <w:rPr>
                <w:sz w:val="4"/>
                <w:szCs w:val="4"/>
              </w:rPr>
            </w:r>
          </w:p>
        </w:tc>
        <w:tc>
          <w:tcPr>
            <w:tcW w:w="142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8"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EBITDA Reconciliation:</w:t>
            </w:r>
          </w:p>
        </w:tc>
        <w:tc>
          <w:tcPr>
            <w:tcW w:w="12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38,936 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62,400 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 of revenue)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8,094 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8,375 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(1,001)</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(1,374)</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6,320 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EBITDA</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53,358 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75,816 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7,359 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Payroll taxes expense on employee stock transactions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r>
      <w:tr>
        <w:trPr/>
        <w:tc>
          <w:tcPr>
            <w:tcW w:w="4470"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Gain on extinguishment of debt </w:t>
            </w:r>
            <w:r>
              <w:rPr>
                <w:rFonts w:ascii="Times New Roman;serif" w:hAnsi="Times New Roman;serif"/>
                <w:b w:val="false"/>
                <w:color w:val="000000"/>
                <w:sz w:val="13"/>
              </w:rPr>
              <w:t>(1)</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(37,101)</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Change in fair value of warrant liability </w:t>
            </w:r>
            <w:r>
              <w:rPr>
                <w:rFonts w:ascii="Times New Roman;serif" w:hAnsi="Times New Roman;serif"/>
                <w:b w:val="false"/>
                <w:color w:val="000000"/>
                <w:sz w:val="13"/>
              </w:rPr>
              <w:t>(2)</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(47,335)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(42,503)</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EBITDA</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13,069 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4,110 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 (% of revenue)</w:t>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3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4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(1) The gain on extinguishment of debt for the three months ended March 31, 2025 reflects the difference between the carrying value of the February 2025 Exchanged Notes and the fair value of the 2031 Notes. </w:t>
      </w:r>
    </w:p>
    <w:p>
      <w:pPr>
        <w:pStyle w:val="TextBody"/>
        <w:bidi w:val="0"/>
        <w:spacing w:lineRule="auto" w:line="288" w:before="120" w:after="283"/>
        <w:jc w:val="left"/>
        <w:rPr>
          <w:rFonts w:ascii="Times New Roman;serif" w:hAnsi="Times New Roman;serif"/>
          <w:b w:val="false"/>
          <w:color w:val="000000"/>
          <w:sz w:val="16"/>
        </w:rPr>
      </w:pPr>
      <w:r>
        <w:rPr>
          <w:rFonts w:ascii="Times New Roman;serif" w:hAnsi="Times New Roman;serif"/>
          <w:b w:val="false"/>
          <w:color w:val="000000"/>
          <w:sz w:val="16"/>
        </w:rPr>
        <w:t>(2) The change in fair value of warrant liability for the three months ended March 31, 2026 and March 31, 2025 reflects the remeasurement of the warrants issued by the Company in connection with the 2024 Note Exchange in February 2024.</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 reconciliation of GAAP net income to non-GAAP net loss attributable to common stockholders, the most directly comparable GAAP financial measure, in order to calculate non-GAAP net loss attributable to common stockholders per share, basic and diluted, is as follows (in thousands, except share and per share data):</w:t>
      </w:r>
    </w:p>
    <w:tbl>
      <w:tblPr>
        <w:tblW w:w="10205" w:type="dxa"/>
        <w:jc w:val="left"/>
        <w:tblInd w:w="0" w:type="dxa"/>
        <w:tblLayout w:type="fixed"/>
        <w:tblCellMar>
          <w:top w:w="28" w:type="dxa"/>
          <w:left w:w="28" w:type="dxa"/>
          <w:bottom w:w="28" w:type="dxa"/>
          <w:right w:w="28" w:type="dxa"/>
        </w:tblCellMar>
      </w:tblPr>
      <w:tblGrid>
        <w:gridCol w:w="2723"/>
        <w:gridCol w:w="2245"/>
        <w:gridCol w:w="2274"/>
        <w:gridCol w:w="268"/>
        <w:gridCol w:w="918"/>
        <w:gridCol w:w="109"/>
        <w:gridCol w:w="109"/>
        <w:gridCol w:w="109"/>
        <w:gridCol w:w="109"/>
        <w:gridCol w:w="268"/>
        <w:gridCol w:w="918"/>
        <w:gridCol w:w="155"/>
      </w:tblGrid>
      <w:tr>
        <w:trPr/>
        <w:tc>
          <w:tcPr>
            <w:tcW w:w="2723" w:type="dxa"/>
            <w:tcBorders/>
            <w:vAlign w:val="center"/>
          </w:tcPr>
          <w:p>
            <w:pPr>
              <w:pStyle w:val="TableContents"/>
              <w:bidi w:val="0"/>
              <w:spacing w:before="0" w:after="283"/>
              <w:jc w:val="left"/>
              <w:rPr>
                <w:sz w:val="4"/>
                <w:szCs w:val="4"/>
              </w:rPr>
            </w:pPr>
            <w:r>
              <w:rPr>
                <w:sz w:val="4"/>
                <w:szCs w:val="4"/>
              </w:rPr>
            </w:r>
          </w:p>
        </w:tc>
        <w:tc>
          <w:tcPr>
            <w:tcW w:w="2245" w:type="dxa"/>
            <w:tcBorders/>
            <w:vAlign w:val="center"/>
          </w:tcPr>
          <w:p>
            <w:pPr>
              <w:pStyle w:val="TableContents"/>
              <w:bidi w:val="0"/>
              <w:spacing w:before="0" w:after="283"/>
              <w:jc w:val="left"/>
              <w:rPr>
                <w:sz w:val="4"/>
                <w:szCs w:val="4"/>
              </w:rPr>
            </w:pPr>
            <w:r>
              <w:rPr>
                <w:sz w:val="4"/>
                <w:szCs w:val="4"/>
              </w:rPr>
            </w:r>
          </w:p>
        </w:tc>
        <w:tc>
          <w:tcPr>
            <w:tcW w:w="227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2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3"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r>
      <w:tr>
        <w:trPr/>
        <w:tc>
          <w:tcPr>
            <w:tcW w:w="72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72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62,400 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7,359 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Payroll tax expense on employee stock transactions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2"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72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extinguishment of debt</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(37,101)</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warrant liability</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(42,503)</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net loss attributable to common stockholders</w:t>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(9,211)</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common shares outstanding used to calculate Non-GAAP net loss attributable to common stockholders per share, basic and diluted</w:t>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119,523,593 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112,038,075 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net loss attributable to common stockholders per share, basic and diluted</w:t>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(0.08)</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a reconciliation of net cash used in operating activities to free (negative) cash flow for each of the periods indicated (in thousands):</w:t>
      </w:r>
    </w:p>
    <w:tbl>
      <w:tblPr>
        <w:tblW w:w="10164" w:type="dxa"/>
        <w:jc w:val="left"/>
        <w:tblInd w:w="0" w:type="dxa"/>
        <w:tblLayout w:type="fixed"/>
        <w:tblCellMar>
          <w:top w:w="28" w:type="dxa"/>
          <w:left w:w="28" w:type="dxa"/>
          <w:bottom w:w="28" w:type="dxa"/>
          <w:right w:w="28" w:type="dxa"/>
        </w:tblCellMar>
      </w:tblPr>
      <w:tblGrid>
        <w:gridCol w:w="2735"/>
        <w:gridCol w:w="2409"/>
        <w:gridCol w:w="2416"/>
        <w:gridCol w:w="211"/>
        <w:gridCol w:w="796"/>
        <w:gridCol w:w="109"/>
        <w:gridCol w:w="109"/>
        <w:gridCol w:w="109"/>
        <w:gridCol w:w="109"/>
        <w:gridCol w:w="211"/>
        <w:gridCol w:w="796"/>
        <w:gridCol w:w="154"/>
      </w:tblGrid>
      <w:tr>
        <w:trPr/>
        <w:tc>
          <w:tcPr>
            <w:tcW w:w="2735" w:type="dxa"/>
            <w:tcBorders/>
            <w:vAlign w:val="center"/>
          </w:tcPr>
          <w:p>
            <w:pPr>
              <w:pStyle w:val="TableContents"/>
              <w:bidi w:val="0"/>
              <w:spacing w:before="0" w:after="283"/>
              <w:jc w:val="left"/>
              <w:rPr>
                <w:sz w:val="4"/>
                <w:szCs w:val="4"/>
              </w:rPr>
            </w:pPr>
            <w:r>
              <w:rPr>
                <w:sz w:val="4"/>
                <w:szCs w:val="4"/>
              </w:rPr>
            </w:r>
          </w:p>
        </w:tc>
        <w:tc>
          <w:tcPr>
            <w:tcW w:w="2409" w:type="dxa"/>
            <w:tcBorders/>
            <w:vAlign w:val="center"/>
          </w:tcPr>
          <w:p>
            <w:pPr>
              <w:pStyle w:val="TableContents"/>
              <w:bidi w:val="0"/>
              <w:spacing w:before="0" w:after="283"/>
              <w:jc w:val="left"/>
              <w:rPr>
                <w:sz w:val="4"/>
                <w:szCs w:val="4"/>
              </w:rPr>
            </w:pPr>
            <w:r>
              <w:rPr>
                <w:sz w:val="4"/>
                <w:szCs w:val="4"/>
              </w:rPr>
            </w:r>
          </w:p>
        </w:tc>
        <w:tc>
          <w:tcPr>
            <w:tcW w:w="24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5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r>
      <w:tr>
        <w:trPr/>
        <w:tc>
          <w:tcPr>
            <w:tcW w:w="75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7560"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operating activities</w:t>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(16,623)</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(28,270)</w:t>
            </w:r>
          </w:p>
        </w:tc>
        <w:tc>
          <w:tcPr>
            <w:tcW w:w="154"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of property and equipment and capitalized proprietary software development costs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(7,578)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0"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Free (negative) cash flow</w:t>
            </w:r>
          </w:p>
        </w:tc>
        <w:tc>
          <w:tcPr>
            <w:tcW w:w="21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(27,263)</w:t>
            </w:r>
          </w:p>
        </w:tc>
        <w:tc>
          <w:tcPr>
            <w:tcW w:w="10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(35,848)</w:t>
            </w:r>
          </w:p>
        </w:tc>
        <w:tc>
          <w:tcPr>
            <w:tcW w:w="154"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Key Financial and Operating Metrics:</w:t>
      </w:r>
    </w:p>
    <w:tbl>
      <w:tblPr>
        <w:tblW w:w="15649" w:type="dxa"/>
        <w:jc w:val="left"/>
        <w:tblInd w:w="0" w:type="dxa"/>
        <w:tblLayout w:type="fixed"/>
        <w:tblCellMar>
          <w:top w:w="28" w:type="dxa"/>
          <w:left w:w="28" w:type="dxa"/>
          <w:bottom w:w="28" w:type="dxa"/>
          <w:right w:w="28" w:type="dxa"/>
        </w:tblCellMar>
      </w:tblPr>
      <w:tblGrid>
        <w:gridCol w:w="440"/>
        <w:gridCol w:w="385"/>
        <w:gridCol w:w="391"/>
        <w:gridCol w:w="211"/>
        <w:gridCol w:w="826"/>
        <w:gridCol w:w="271"/>
        <w:gridCol w:w="109"/>
        <w:gridCol w:w="109"/>
        <w:gridCol w:w="109"/>
        <w:gridCol w:w="211"/>
        <w:gridCol w:w="826"/>
        <w:gridCol w:w="271"/>
        <w:gridCol w:w="109"/>
        <w:gridCol w:w="109"/>
        <w:gridCol w:w="109"/>
        <w:gridCol w:w="211"/>
        <w:gridCol w:w="826"/>
        <w:gridCol w:w="271"/>
        <w:gridCol w:w="109"/>
        <w:gridCol w:w="109"/>
        <w:gridCol w:w="109"/>
        <w:gridCol w:w="211"/>
        <w:gridCol w:w="826"/>
        <w:gridCol w:w="271"/>
        <w:gridCol w:w="109"/>
        <w:gridCol w:w="109"/>
        <w:gridCol w:w="109"/>
        <w:gridCol w:w="211"/>
        <w:gridCol w:w="826"/>
        <w:gridCol w:w="271"/>
        <w:gridCol w:w="109"/>
        <w:gridCol w:w="109"/>
        <w:gridCol w:w="109"/>
        <w:gridCol w:w="211"/>
        <w:gridCol w:w="826"/>
        <w:gridCol w:w="271"/>
        <w:gridCol w:w="109"/>
        <w:gridCol w:w="109"/>
        <w:gridCol w:w="109"/>
        <w:gridCol w:w="211"/>
        <w:gridCol w:w="826"/>
        <w:gridCol w:w="271"/>
        <w:gridCol w:w="109"/>
        <w:gridCol w:w="109"/>
        <w:gridCol w:w="109"/>
        <w:gridCol w:w="211"/>
        <w:gridCol w:w="826"/>
        <w:gridCol w:w="271"/>
        <w:gridCol w:w="109"/>
        <w:gridCol w:w="109"/>
        <w:gridCol w:w="109"/>
        <w:gridCol w:w="211"/>
        <w:gridCol w:w="826"/>
        <w:gridCol w:w="316"/>
      </w:tblGrid>
      <w:tr>
        <w:trPr/>
        <w:tc>
          <w:tcPr>
            <w:tcW w:w="440"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br/>
              <w:t>2024</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2024</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b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b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b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br/>
              <w:t>2026</w:t>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3" w:type="dxa"/>
            <w:gridSpan w:val="51"/>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 except AOV and percentages)</w:t>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GMV</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451,941 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440,914 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433,074 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503,534 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490,405 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504,105 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519,814 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615,683 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606,359 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NMV</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334,815 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329,422 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335,191 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383,447 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370,757 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379,377 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397,062 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466,924 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458,747 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Consignment 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115,648 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112,714 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116,908 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128,126 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123,814 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128,620 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134,429 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149,014 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145,893 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 Revenue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12,709 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16,724 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15,623 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19,524 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20,454 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20,495 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22,928 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27,214 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25,808 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Shipping Services 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15,443 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15,496 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15,224 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16,345 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15,765 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16,073 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16,216 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17,823 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18,014 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Number of Orders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938 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Take Rate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Active Buyers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1,083 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AOV</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646 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3637</Words>
  <Characters>20725</Characters>
  <CharactersWithSpaces>23898</CharactersWithSpaces>
  <Paragraphs>737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