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McKeehan Jennifer</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TheRealReal,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04/13/2026</w:t>
            </w:r>
          </w:p>
        </w:tc>
        <w:tc>
          <w:tcPr>
            <w:tcW w:w="2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55 FRANCISCO STREET SUITE 400</w:t>
            </w:r>
          </w:p>
        </w:tc>
        <w:tc>
          <w:tcPr>
            <w:tcW w:w="1700" w:type="dxa"/>
            <w:vAlign w:val="bottom"/>
            <w:gridSpan w:val="3"/>
            <w:vMerge w:val="continue"/>
          </w:tcPr>
          <w:p>
            <w:pPr>
              <w:spacing w:after="0"/>
              <w:rPr>
                <w:sz w:val="11"/>
                <w:szCs w:val="11"/>
                <w:color w:val="auto"/>
              </w:rPr>
            </w:pPr>
          </w:p>
        </w:tc>
        <w:tc>
          <w:tcPr>
            <w:tcW w:w="2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15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94133</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04/13/2026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4,247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4,247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vest on the earlier of (a) the first anniversary of the grant date of such award or (b) the date immediately preceding the next annual meeting of Company's stockholders, subject to the non-employee director's continued service through the applicable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Todd Suko, Attorney 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04/14/2026</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9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Jennifer McKeehan</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0899" TargetMode="External"/><Relationship Id="rId14" Type="http://schemas.openxmlformats.org/officeDocument/2006/relationships/hyperlink" Target="http://www.sec.gov/cgi-bin/browse-edgar?action=getcompany&amp;CIK=00015732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2026-04-14T16:44:02Z</dcterms:created>
  <dcterms:modified xsi:type="dcterms:W3CDTF">2026-04-14T16:44:02Z</dcterms:modified>
</cp:coreProperties>
</file>